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D3" w:rsidRDefault="00D97CD3" w:rsidP="00D97CD3">
      <w:pPr>
        <w:pStyle w:val="Header"/>
        <w:rPr>
          <w:rFonts w:cs="Kalimati"/>
          <w:b/>
          <w:bCs/>
          <w:sz w:val="28"/>
          <w:szCs w:val="24"/>
        </w:rPr>
      </w:pPr>
    </w:p>
    <w:p w:rsidR="00D97CD3" w:rsidRDefault="00D97CD3" w:rsidP="00D97CD3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 xml:space="preserve">मुख्य न्यायाधिवक्ताको कार्यालय </w:t>
      </w:r>
    </w:p>
    <w:p w:rsidR="00D97CD3" w:rsidRDefault="00D97CD3" w:rsidP="00D97CD3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 w:hint="cs"/>
          <w:b/>
          <w:bCs/>
          <w:sz w:val="28"/>
          <w:szCs w:val="24"/>
          <w:cs/>
        </w:rPr>
        <w:t xml:space="preserve">लुम्बिनी प्रदेश राप्ती उपत्यका (देउखुरी), नेपाल </w:t>
      </w:r>
    </w:p>
    <w:p w:rsidR="00D97CD3" w:rsidRDefault="00D97CD3" w:rsidP="00D97CD3">
      <w:pPr>
        <w:spacing w:after="0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t>मुद्दा प्रतिरक्षाको विवरण</w:t>
      </w:r>
    </w:p>
    <w:p w:rsidR="00D97CD3" w:rsidRDefault="00D97CD3" w:rsidP="00D97CD3">
      <w:pPr>
        <w:pStyle w:val="Header"/>
        <w:jc w:val="center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२०७५ साल देखि २०८० चैत मसान्त सम्म </w:t>
      </w:r>
    </w:p>
    <w:tbl>
      <w:tblPr>
        <w:tblStyle w:val="TableGrid"/>
        <w:tblpPr w:leftFromText="180" w:rightFromText="180" w:vertAnchor="text" w:horzAnchor="margin" w:tblpY="49"/>
        <w:tblW w:w="14095" w:type="dxa"/>
        <w:tblInd w:w="0" w:type="dxa"/>
        <w:tblLook w:val="04A0"/>
      </w:tblPr>
      <w:tblGrid>
        <w:gridCol w:w="784"/>
        <w:gridCol w:w="2832"/>
        <w:gridCol w:w="2307"/>
        <w:gridCol w:w="1722"/>
        <w:gridCol w:w="1599"/>
        <w:gridCol w:w="1937"/>
        <w:gridCol w:w="1557"/>
        <w:gridCol w:w="1357"/>
      </w:tblGrid>
      <w:tr w:rsidR="00D97CD3" w:rsidTr="00D97CD3">
        <w:trPr>
          <w:trHeight w:val="427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क्र.स.</w:t>
            </w:r>
          </w:p>
        </w:tc>
        <w:tc>
          <w:tcPr>
            <w:tcW w:w="2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jc w:val="center"/>
              <w:rPr>
                <w:rFonts w:cs="Kalimati"/>
                <w:b/>
                <w:bCs/>
                <w:szCs w:val="22"/>
              </w:rPr>
            </w:pPr>
          </w:p>
          <w:p w:rsidR="00D97CD3" w:rsidRDefault="00D97CD3">
            <w:pPr>
              <w:jc w:val="center"/>
              <w:rPr>
                <w:rFonts w:cs="Kalimati"/>
                <w:b/>
                <w:bCs/>
                <w:szCs w:val="22"/>
              </w:rPr>
            </w:pPr>
          </w:p>
          <w:p w:rsidR="00D97CD3" w:rsidRDefault="00D97CD3">
            <w:pPr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अदालतको नाम </w:t>
            </w:r>
          </w:p>
        </w:tc>
        <w:tc>
          <w:tcPr>
            <w:tcW w:w="9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jc w:val="center"/>
              <w:rPr>
                <w:rFonts w:cs="Kalimati"/>
                <w:b/>
                <w:bCs/>
                <w:szCs w:val="22"/>
              </w:rPr>
            </w:pPr>
          </w:p>
          <w:p w:rsidR="00D97CD3" w:rsidRDefault="00D97CD3">
            <w:pPr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अदालतहरुमा वहस पैरवी गरेको मुद्दाको विवरण</w:t>
            </w:r>
          </w:p>
        </w:tc>
        <w:tc>
          <w:tcPr>
            <w:tcW w:w="13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rPr>
                <w:rFonts w:cs="Kalimati"/>
                <w:szCs w:val="22"/>
              </w:rPr>
            </w:pPr>
          </w:p>
          <w:p w:rsidR="00D97CD3" w:rsidRDefault="00D97CD3">
            <w:pPr>
              <w:rPr>
                <w:rFonts w:cs="Kalimati"/>
                <w:szCs w:val="22"/>
              </w:rPr>
            </w:pP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२०७५ देखि आ.व. चैत जम्मा </w:t>
            </w:r>
          </w:p>
        </w:tc>
      </w:tr>
      <w:tr w:rsidR="00D97CD3" w:rsidTr="00D97CD3">
        <w:trPr>
          <w:trHeight w:val="7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२०७५/०७६ देखि</w:t>
            </w: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२०७६/०७७ 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२०७७/०७८</w:t>
            </w: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२०७८/०७९</w:t>
            </w: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२०७९/०८०</w:t>
            </w: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२०८० चैत मसान्त सम्म</w:t>
            </w:r>
          </w:p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D3" w:rsidRDefault="00D97CD3">
            <w:pPr>
              <w:rPr>
                <w:rFonts w:cs="Kalimati"/>
                <w:b/>
                <w:bCs/>
                <w:szCs w:val="22"/>
              </w:rPr>
            </w:pP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सर्वोच्च अदालत 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२३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१७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३१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८४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९०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२४५</w:t>
            </w: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उच्च अदालत तुलसीपुर, बुटवल इजलास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२६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१४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२३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३४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१६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११३</w:t>
            </w:r>
          </w:p>
        </w:tc>
      </w:tr>
      <w:tr w:rsidR="00D97CD3" w:rsidTr="00D97CD3">
        <w:trPr>
          <w:trHeight w:val="31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उच्च अदालत तुलसीपुर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१६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१५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४७</w:t>
            </w: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उच्च अदालत पाटन ललितपुर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११</w:t>
            </w:r>
          </w:p>
        </w:tc>
      </w:tr>
      <w:tr w:rsidR="00D97CD3" w:rsidTr="00D97CD3">
        <w:trPr>
          <w:trHeight w:val="31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उच्च अदालत तुलसीपुर, नेपालगंज इजलास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२२</w:t>
            </w: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प्रशासकिय अदालत 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८</w:t>
            </w: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रुपन्देही जिल्ला अदालत 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जिल्ला अदालत घोराही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</w:tr>
      <w:tr w:rsidR="00D97CD3" w:rsidTr="00D97CD3">
        <w:trPr>
          <w:trHeight w:val="3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जिल्ला अदालत कपिलवस्तु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०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</w:tr>
      <w:tr w:rsidR="00D97CD3" w:rsidTr="00D97CD3">
        <w:trPr>
          <w:trHeight w:val="335"/>
        </w:trPr>
        <w:tc>
          <w:tcPr>
            <w:tcW w:w="36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जम्मा 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६१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४१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६३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१४४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१४०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3" w:rsidRDefault="00D97CD3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४४९</w:t>
            </w:r>
          </w:p>
        </w:tc>
      </w:tr>
    </w:tbl>
    <w:p w:rsidR="00D97CD3" w:rsidRDefault="00D97CD3" w:rsidP="00D97CD3">
      <w:pPr>
        <w:spacing w:after="0"/>
      </w:pP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</w:r>
      <w:r>
        <w:rPr>
          <w:rFonts w:cs="Kalimati" w:hint="cs"/>
          <w:b/>
          <w:bCs/>
          <w:sz w:val="28"/>
          <w:szCs w:val="24"/>
          <w:cs/>
        </w:rPr>
        <w:tab/>
        <w:t xml:space="preserve">                     </w:t>
      </w:r>
      <w:r>
        <w:rPr>
          <w:cs/>
        </w:rPr>
        <w:tab/>
      </w:r>
    </w:p>
    <w:p w:rsidR="00D97CD3" w:rsidRDefault="00D97CD3" w:rsidP="00D97CD3">
      <w:pPr>
        <w:spacing w:after="0"/>
        <w:ind w:left="10080" w:firstLine="720"/>
        <w:rPr>
          <w:rFonts w:cs="Kalimati"/>
        </w:rPr>
      </w:pPr>
    </w:p>
    <w:p w:rsidR="00A616C3" w:rsidRDefault="00A616C3"/>
    <w:sectPr w:rsidR="00A616C3" w:rsidSect="00D97C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7CD3"/>
    <w:rsid w:val="00A616C3"/>
    <w:rsid w:val="00D9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CD3"/>
    <w:rPr>
      <w:rFonts w:eastAsiaTheme="minorEastAsia"/>
    </w:rPr>
  </w:style>
  <w:style w:type="table" w:styleId="TableGrid">
    <w:name w:val="Table Grid"/>
    <w:basedOn w:val="TableNormal"/>
    <w:uiPriority w:val="59"/>
    <w:rsid w:val="00D97C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2024-06-13T08:05:00Z</dcterms:created>
  <dcterms:modified xsi:type="dcterms:W3CDTF">2024-06-13T08:06:00Z</dcterms:modified>
</cp:coreProperties>
</file>